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2200"/>
        <w:gridCol w:w="2200"/>
        <w:gridCol w:w="2760"/>
      </w:tblGrid>
      <w:tr w:rsidR="006A2AE4" w14:paraId="22DEFCC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E65F5E1" w14:textId="77777777" w:rsidR="006A2AE4" w:rsidRDefault="00000000">
            <w:r>
              <w:rPr>
                <w:color w:val="555555"/>
                <w:sz w:val="18"/>
                <w:szCs w:val="18"/>
              </w:rPr>
              <w:t>Produit</w:t>
            </w:r>
          </w:p>
          <w:p w14:paraId="38969B92" w14:textId="77777777" w:rsidR="006A2AE4" w:rsidRDefault="00000000">
            <w:proofErr w:type="spellStart"/>
            <w:r>
              <w:rPr>
                <w:b/>
                <w:bCs/>
                <w:color w:val="1F4E79"/>
              </w:rPr>
              <w:t>Cardiostat</w:t>
            </w:r>
            <w:proofErr w:type="spellEnd"/>
            <w:r>
              <w:rPr>
                <w:b/>
                <w:bCs/>
                <w:color w:val="1F4E79"/>
              </w:rPr>
              <w:t>® 40 mg</w:t>
            </w:r>
          </w:p>
        </w:tc>
        <w:tc>
          <w:tcPr>
            <w:tcW w:w="2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4DAF9EC" w14:textId="77777777" w:rsidR="006A2AE4" w:rsidRDefault="00000000">
            <w:r>
              <w:rPr>
                <w:color w:val="555555"/>
                <w:sz w:val="18"/>
                <w:szCs w:val="18"/>
              </w:rPr>
              <w:t>Méthode</w:t>
            </w:r>
          </w:p>
          <w:p w14:paraId="5FB289F4" w14:textId="77777777" w:rsidR="006A2AE4" w:rsidRDefault="00000000">
            <w:r>
              <w:rPr>
                <w:b/>
                <w:bCs/>
                <w:color w:val="1F4E79"/>
              </w:rPr>
              <w:t>METH-HPLC-CARD-001</w:t>
            </w:r>
          </w:p>
        </w:tc>
        <w:tc>
          <w:tcPr>
            <w:tcW w:w="2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F6350D2" w14:textId="77777777" w:rsidR="006A2AE4" w:rsidRDefault="00000000">
            <w:r>
              <w:rPr>
                <w:color w:val="555555"/>
                <w:sz w:val="18"/>
                <w:szCs w:val="18"/>
              </w:rPr>
              <w:t>Applicable à</w:t>
            </w:r>
          </w:p>
          <w:p w14:paraId="002079CF" w14:textId="77777777" w:rsidR="006A2AE4" w:rsidRDefault="00000000">
            <w:r>
              <w:rPr>
                <w:b/>
                <w:bCs/>
                <w:color w:val="1F4E79"/>
              </w:rPr>
              <w:t>Dosage impuretés</w:t>
            </w:r>
          </w:p>
        </w:tc>
        <w:tc>
          <w:tcPr>
            <w:tcW w:w="27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8EDB4CA" w14:textId="77777777" w:rsidR="006A2AE4" w:rsidRDefault="00000000">
            <w:r>
              <w:rPr>
                <w:color w:val="555555"/>
                <w:sz w:val="18"/>
                <w:szCs w:val="18"/>
              </w:rPr>
              <w:t>Référence réglementaire</w:t>
            </w:r>
          </w:p>
          <w:p w14:paraId="523DAB3C" w14:textId="77777777" w:rsidR="006A2AE4" w:rsidRDefault="00000000">
            <w:r>
              <w:rPr>
                <w:b/>
                <w:bCs/>
                <w:color w:val="1F4E79"/>
              </w:rPr>
              <w:t>FDA OOS Guidance (2006) | ICH Q3B</w:t>
            </w:r>
          </w:p>
        </w:tc>
      </w:tr>
    </w:tbl>
    <w:p w14:paraId="5F945248" w14:textId="77777777" w:rsidR="006A2AE4" w:rsidRDefault="006A2AE4">
      <w:pPr>
        <w:spacing w:after="120"/>
      </w:pPr>
    </w:p>
    <w:p w14:paraId="582574E3" w14:textId="77777777" w:rsidR="006A2AE4" w:rsidRDefault="00000000">
      <w:pPr>
        <w:pBdr>
          <w:bottom w:val="single" w:sz="10" w:space="2" w:color="2E75B6"/>
        </w:pBdr>
        <w:spacing w:before="240" w:after="120"/>
      </w:pPr>
      <w:proofErr w:type="gramStart"/>
      <w:r>
        <w:rPr>
          <w:b/>
          <w:bCs/>
          <w:color w:val="2E75B6"/>
          <w:sz w:val="28"/>
          <w:szCs w:val="28"/>
        </w:rPr>
        <w:t xml:space="preserve">8.3  </w:t>
      </w:r>
      <w:r>
        <w:rPr>
          <w:b/>
          <w:bCs/>
          <w:color w:val="1F4E79"/>
          <w:sz w:val="28"/>
          <w:szCs w:val="28"/>
        </w:rPr>
        <w:t>Gestion</w:t>
      </w:r>
      <w:proofErr w:type="gramEnd"/>
      <w:r>
        <w:rPr>
          <w:b/>
          <w:bCs/>
          <w:color w:val="1F4E79"/>
          <w:sz w:val="28"/>
          <w:szCs w:val="28"/>
        </w:rPr>
        <w:t xml:space="preserve"> des résultats suspects</w:t>
      </w:r>
    </w:p>
    <w:p w14:paraId="30021569" w14:textId="77777777" w:rsidR="006A2AE4" w:rsidRDefault="006A2AE4">
      <w:pPr>
        <w:spacing w:after="60"/>
      </w:pPr>
    </w:p>
    <w:p w14:paraId="5AFC3B07" w14:textId="77777777" w:rsidR="006A2AE4" w:rsidRDefault="00000000">
      <w:pPr>
        <w:pBdr>
          <w:left w:val="single" w:sz="16" w:space="8" w:color="2E75B6"/>
        </w:pBdr>
        <w:spacing w:before="180" w:after="80"/>
        <w:ind w:left="120"/>
      </w:pPr>
      <w:proofErr w:type="gramStart"/>
      <w:r>
        <w:rPr>
          <w:b/>
          <w:bCs/>
          <w:color w:val="2E75B6"/>
          <w:sz w:val="24"/>
          <w:szCs w:val="24"/>
        </w:rPr>
        <w:t xml:space="preserve">8.3.1  </w:t>
      </w:r>
      <w:r>
        <w:rPr>
          <w:b/>
          <w:bCs/>
          <w:color w:val="1F4E79"/>
          <w:sz w:val="24"/>
          <w:szCs w:val="24"/>
        </w:rPr>
        <w:t>Définition</w:t>
      </w:r>
      <w:proofErr w:type="gramEnd"/>
      <w:r>
        <w:rPr>
          <w:b/>
          <w:bCs/>
          <w:color w:val="1F4E79"/>
          <w:sz w:val="24"/>
          <w:szCs w:val="24"/>
        </w:rPr>
        <w:t xml:space="preserve"> d'un résultat suspect</w:t>
      </w:r>
    </w:p>
    <w:p w14:paraId="19716C3D" w14:textId="77777777" w:rsidR="006A2AE4" w:rsidRDefault="006A2AE4">
      <w:pPr>
        <w:spacing w:after="50"/>
      </w:pPr>
    </w:p>
    <w:p w14:paraId="2F521AD5" w14:textId="77777777" w:rsidR="006A2AE4" w:rsidRDefault="00000000">
      <w:pPr>
        <w:spacing w:after="60"/>
      </w:pPr>
      <w:r>
        <w:rPr>
          <w:color w:val="333333"/>
        </w:rPr>
        <w:t>Un résultat est considéré comme suspect si au moins un des critères suivants est satisfait :</w:t>
      </w:r>
    </w:p>
    <w:p w14:paraId="7BDC1978" w14:textId="77777777" w:rsidR="006A2AE4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b/>
          <w:bCs/>
          <w:color w:val="A32D2D"/>
        </w:rPr>
        <w:t>Résultat &gt; 150 % de la limite de spécification</w:t>
      </w:r>
    </w:p>
    <w:p w14:paraId="45CA045C" w14:textId="77777777" w:rsidR="006A2AE4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222222"/>
        </w:rPr>
        <w:t xml:space="preserve">Résultat non reproductible sur </w:t>
      </w:r>
      <w:proofErr w:type="spellStart"/>
      <w:r>
        <w:rPr>
          <w:color w:val="222222"/>
        </w:rPr>
        <w:t>ré-injection</w:t>
      </w:r>
      <w:proofErr w:type="spellEnd"/>
      <w:r>
        <w:rPr>
          <w:color w:val="222222"/>
        </w:rPr>
        <w:t xml:space="preserve"> immédiate de la même préparation</w:t>
      </w:r>
    </w:p>
    <w:p w14:paraId="72160952" w14:textId="77777777" w:rsidR="006A2AE4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222222"/>
        </w:rPr>
        <w:t>Chromatogramme présentant des anomalies : bruit de fond excessif, distorsion de la ligne de base, forme de pic anormale (épaulement, asymétrie &gt; critère de validation)</w:t>
      </w:r>
    </w:p>
    <w:p w14:paraId="52708F11" w14:textId="77777777" w:rsidR="006A2AE4" w:rsidRDefault="006A2AE4">
      <w:pPr>
        <w:spacing w:after="100"/>
      </w:pPr>
    </w:p>
    <w:p w14:paraId="432D57D1" w14:textId="77777777" w:rsidR="006A2AE4" w:rsidRDefault="00000000">
      <w:pPr>
        <w:pBdr>
          <w:left w:val="single" w:sz="16" w:space="8" w:color="2E75B6"/>
        </w:pBdr>
        <w:spacing w:before="180" w:after="80"/>
        <w:ind w:left="120"/>
      </w:pPr>
      <w:proofErr w:type="gramStart"/>
      <w:r>
        <w:rPr>
          <w:b/>
          <w:bCs/>
          <w:color w:val="2E75B6"/>
          <w:sz w:val="24"/>
          <w:szCs w:val="24"/>
        </w:rPr>
        <w:t xml:space="preserve">8.3.2  </w:t>
      </w:r>
      <w:r>
        <w:rPr>
          <w:b/>
          <w:bCs/>
          <w:color w:val="1F4E79"/>
          <w:sz w:val="24"/>
          <w:szCs w:val="24"/>
        </w:rPr>
        <w:t>Procédure</w:t>
      </w:r>
      <w:proofErr w:type="gramEnd"/>
      <w:r>
        <w:rPr>
          <w:b/>
          <w:bCs/>
          <w:color w:val="1F4E79"/>
          <w:sz w:val="24"/>
          <w:szCs w:val="24"/>
        </w:rPr>
        <w:t xml:space="preserve"> en cas de résultat suspect</w:t>
      </w:r>
    </w:p>
    <w:p w14:paraId="3D8EC232" w14:textId="77777777" w:rsidR="006A2AE4" w:rsidRDefault="006A2AE4">
      <w:pPr>
        <w:spacing w:after="50"/>
      </w:pPr>
    </w:p>
    <w:p w14:paraId="28BCC6C4" w14:textId="77777777" w:rsidR="006A2AE4" w:rsidRDefault="00000000">
      <w:pPr>
        <w:pBdr>
          <w:left w:val="single" w:sz="20" w:space="8" w:color="A32D2D"/>
        </w:pBdr>
        <w:spacing w:before="60" w:after="60"/>
        <w:ind w:left="280"/>
      </w:pPr>
      <w:r>
        <w:rPr>
          <w:b/>
          <w:bCs/>
          <w:color w:val="A32D2D"/>
        </w:rPr>
        <w:t xml:space="preserve">Principe fondamental : </w:t>
      </w:r>
      <w:r>
        <w:rPr>
          <w:color w:val="A32D2D"/>
        </w:rPr>
        <w:t>Un résultat suspect NE DOIT PAS être rejeté immédiatement. Toute exclusion requiert une cause technique documentée, conformément à la FDA OOS Guidance (2006).</w:t>
      </w:r>
    </w:p>
    <w:p w14:paraId="6D22156E" w14:textId="77777777" w:rsidR="006A2AE4" w:rsidRDefault="006A2AE4">
      <w:pPr>
        <w:spacing w:after="80"/>
      </w:pPr>
    </w:p>
    <w:p w14:paraId="4F9D210F" w14:textId="77777777" w:rsidR="006A2AE4" w:rsidRDefault="00000000">
      <w:pPr>
        <w:pStyle w:val="Paragraphedeliste"/>
        <w:numPr>
          <w:ilvl w:val="0"/>
          <w:numId w:val="3"/>
        </w:numPr>
        <w:spacing w:before="50" w:after="50"/>
      </w:pPr>
      <w:r>
        <w:t>Ne pas rejeter le résultat initial. L'enregistrer dans le CDS tel quel.</w:t>
      </w:r>
    </w:p>
    <w:p w14:paraId="5A0A1F47" w14:textId="77777777" w:rsidR="006A2AE4" w:rsidRDefault="00000000">
      <w:pPr>
        <w:pStyle w:val="Paragraphedeliste"/>
        <w:numPr>
          <w:ilvl w:val="0"/>
          <w:numId w:val="3"/>
        </w:numPr>
        <w:spacing w:before="50" w:after="50"/>
      </w:pPr>
      <w:r>
        <w:t xml:space="preserve">Effectuer une </w:t>
      </w:r>
      <w:proofErr w:type="spellStart"/>
      <w:r>
        <w:t>ré-injection</w:t>
      </w:r>
      <w:proofErr w:type="spellEnd"/>
      <w:r>
        <w:t xml:space="preserve"> immédiate de la MÊME préparation (même flacon, sans nouvelle dilution).</w:t>
      </w:r>
    </w:p>
    <w:p w14:paraId="515ED709" w14:textId="77777777" w:rsidR="006A2AE4" w:rsidRDefault="00000000">
      <w:pPr>
        <w:pStyle w:val="Paragraphedeliste"/>
        <w:numPr>
          <w:ilvl w:val="0"/>
          <w:numId w:val="3"/>
        </w:numPr>
        <w:spacing w:before="50" w:after="50"/>
      </w:pPr>
      <w:r>
        <w:t xml:space="preserve">Évaluer le résultat de la </w:t>
      </w:r>
      <w:proofErr w:type="spellStart"/>
      <w:r>
        <w:t>ré-injection</w:t>
      </w:r>
      <w:proofErr w:type="spellEnd"/>
      <w:r>
        <w:t xml:space="preserve"> selon le tableau de décision ci-dessous :</w:t>
      </w:r>
    </w:p>
    <w:p w14:paraId="3E6C51DB" w14:textId="77777777" w:rsidR="006A2AE4" w:rsidRDefault="006A2AE4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2800"/>
        <w:gridCol w:w="4160"/>
      </w:tblGrid>
      <w:tr w:rsidR="006A2AE4" w14:paraId="6717680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C8D1360" w14:textId="77777777" w:rsidR="006A2AE4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Situation</w:t>
            </w:r>
          </w:p>
        </w:tc>
        <w:tc>
          <w:tcPr>
            <w:tcW w:w="28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2B2D3B65" w14:textId="77777777" w:rsidR="006A2AE4" w:rsidRDefault="00000000">
            <w:pPr>
              <w:jc w:val="center"/>
            </w:pPr>
            <w:r>
              <w:rPr>
                <w:b/>
                <w:bCs/>
                <w:color w:val="FFFFFF"/>
              </w:rPr>
              <w:t>Décision</w:t>
            </w:r>
          </w:p>
        </w:tc>
        <w:tc>
          <w:tcPr>
            <w:tcW w:w="41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014C4C4A" w14:textId="77777777" w:rsidR="006A2AE4" w:rsidRDefault="00000000">
            <w:pPr>
              <w:jc w:val="center"/>
            </w:pPr>
            <w:r>
              <w:rPr>
                <w:b/>
                <w:bCs/>
                <w:color w:val="FFFFFF"/>
              </w:rPr>
              <w:t>Actions requises</w:t>
            </w:r>
          </w:p>
        </w:tc>
      </w:tr>
      <w:tr w:rsidR="006A2AE4" w14:paraId="4805AF3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07FDE641" w14:textId="77777777" w:rsidR="006A2AE4" w:rsidRDefault="00000000">
            <w:proofErr w:type="spellStart"/>
            <w:r>
              <w:rPr>
                <w:b/>
                <w:bCs/>
                <w:color w:val="1D6B3A"/>
              </w:rPr>
              <w:t>Ré-injection</w:t>
            </w:r>
            <w:proofErr w:type="spellEnd"/>
            <w:r>
              <w:rPr>
                <w:b/>
                <w:bCs/>
                <w:color w:val="1D6B3A"/>
              </w:rPr>
              <w:t xml:space="preserve"> conforme (résultat &lt; limite </w:t>
            </w:r>
            <w:proofErr w:type="spellStart"/>
            <w:r>
              <w:rPr>
                <w:b/>
                <w:bCs/>
                <w:color w:val="1D6B3A"/>
              </w:rPr>
              <w:t>spec</w:t>
            </w:r>
            <w:proofErr w:type="spellEnd"/>
            <w:r>
              <w:rPr>
                <w:b/>
                <w:bCs/>
                <w:color w:val="1D6B3A"/>
              </w:rPr>
              <w:t>.)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276FC2B" w14:textId="77777777" w:rsidR="006A2AE4" w:rsidRDefault="00000000">
            <w:r>
              <w:rPr>
                <w:color w:val="1D6B3A"/>
              </w:rPr>
              <w:t>Cause technique identifiée</w:t>
            </w:r>
          </w:p>
        </w:tc>
        <w:tc>
          <w:tcPr>
            <w:tcW w:w="4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19B4CC13" w14:textId="77777777" w:rsidR="006A2AE4" w:rsidRDefault="00000000">
            <w:r>
              <w:rPr>
                <w:color w:val="222222"/>
              </w:rPr>
              <w:t>Exclusion justifiée → poursuite avec nouvelle préparation. Documenter cause + écart.</w:t>
            </w:r>
          </w:p>
        </w:tc>
      </w:tr>
      <w:tr w:rsidR="006A2AE4" w14:paraId="637E5B7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1D1EF725" w14:textId="77777777" w:rsidR="006A2AE4" w:rsidRDefault="00000000">
            <w:proofErr w:type="spellStart"/>
            <w:r>
              <w:rPr>
                <w:b/>
                <w:bCs/>
                <w:color w:val="1D6B3A"/>
              </w:rPr>
              <w:t>Ré-injection</w:t>
            </w:r>
            <w:proofErr w:type="spellEnd"/>
            <w:r>
              <w:rPr>
                <w:b/>
                <w:bCs/>
                <w:color w:val="1D6B3A"/>
              </w:rPr>
              <w:t xml:space="preserve"> conforme (résultat &lt; limite </w:t>
            </w:r>
            <w:proofErr w:type="spellStart"/>
            <w:r>
              <w:rPr>
                <w:b/>
                <w:bCs/>
                <w:color w:val="1D6B3A"/>
              </w:rPr>
              <w:t>spec</w:t>
            </w:r>
            <w:proofErr w:type="spellEnd"/>
            <w:r>
              <w:rPr>
                <w:b/>
                <w:bCs/>
                <w:color w:val="1D6B3A"/>
              </w:rPr>
              <w:t>.)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47FC0216" w14:textId="77777777" w:rsidR="006A2AE4" w:rsidRDefault="00000000">
            <w:r>
              <w:rPr>
                <w:color w:val="7D4000"/>
              </w:rPr>
              <w:t>Cause technique NON identifiée</w:t>
            </w:r>
          </w:p>
        </w:tc>
        <w:tc>
          <w:tcPr>
            <w:tcW w:w="4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29E8CFF3" w14:textId="77777777" w:rsidR="006A2AE4" w:rsidRDefault="00000000">
            <w:r>
              <w:rPr>
                <w:color w:val="222222"/>
              </w:rPr>
              <w:t>Considérer comme OOS potentiel → passer en Phase 1 complète. Ne pas exclure sans justification.</w:t>
            </w:r>
          </w:p>
        </w:tc>
      </w:tr>
      <w:tr w:rsidR="006A2AE4" w14:paraId="716A3C7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0187DB4C" w14:textId="77777777" w:rsidR="006A2AE4" w:rsidRDefault="00000000">
            <w:proofErr w:type="spellStart"/>
            <w:r>
              <w:rPr>
                <w:b/>
                <w:bCs/>
                <w:color w:val="A32D2D"/>
              </w:rPr>
              <w:t>Ré-injection</w:t>
            </w:r>
            <w:proofErr w:type="spellEnd"/>
            <w:r>
              <w:rPr>
                <w:b/>
                <w:bCs/>
                <w:color w:val="A32D2D"/>
              </w:rPr>
              <w:t xml:space="preserve"> confirme le résultat suspect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53F497C6" w14:textId="77777777" w:rsidR="006A2AE4" w:rsidRDefault="00000000">
            <w:r>
              <w:rPr>
                <w:b/>
                <w:bCs/>
                <w:color w:val="A32D2D"/>
              </w:rPr>
              <w:t>OOS confirmé</w:t>
            </w:r>
          </w:p>
        </w:tc>
        <w:tc>
          <w:tcPr>
            <w:tcW w:w="4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696F645D" w14:textId="77777777" w:rsidR="006A2AE4" w:rsidRDefault="00000000">
            <w:r>
              <w:rPr>
                <w:color w:val="222222"/>
              </w:rPr>
              <w:t>Initier investigation Phase 1 complète. Documenter toutes les étapes dans le registre OOS.</w:t>
            </w:r>
          </w:p>
        </w:tc>
      </w:tr>
    </w:tbl>
    <w:p w14:paraId="139F9F85" w14:textId="77777777" w:rsidR="006A2AE4" w:rsidRDefault="006A2AE4">
      <w:pPr>
        <w:spacing w:after="80"/>
      </w:pPr>
    </w:p>
    <w:p w14:paraId="6DB75A99" w14:textId="77777777" w:rsidR="006A2AE4" w:rsidRDefault="00000000">
      <w:pPr>
        <w:pStyle w:val="Paragraphedeliste"/>
        <w:numPr>
          <w:ilvl w:val="0"/>
          <w:numId w:val="3"/>
        </w:numPr>
        <w:spacing w:before="50" w:after="50"/>
      </w:pPr>
      <w:r>
        <w:t>Dans tous les cas, documenter toutes les étapes dans le registre OOS.</w:t>
      </w:r>
    </w:p>
    <w:p w14:paraId="2E1BA302" w14:textId="77777777" w:rsidR="006A2AE4" w:rsidRDefault="006A2AE4">
      <w:pPr>
        <w:spacing w:after="40"/>
      </w:pPr>
    </w:p>
    <w:p w14:paraId="75494E47" w14:textId="77777777" w:rsidR="006A2AE4" w:rsidRDefault="00000000">
      <w:pPr>
        <w:pBdr>
          <w:left w:val="single" w:sz="20" w:space="8" w:color="3C3489"/>
        </w:pBdr>
        <w:spacing w:before="60" w:after="60"/>
        <w:ind w:left="280"/>
      </w:pPr>
      <w:r>
        <w:rPr>
          <w:b/>
          <w:bCs/>
          <w:color w:val="3C3489"/>
        </w:rPr>
        <w:t xml:space="preserve">Règle ALCOA+ : </w:t>
      </w:r>
      <w:r>
        <w:rPr>
          <w:color w:val="3C3489"/>
        </w:rPr>
        <w:t>Le résultat suspect initial demeure dans les données brutes et ne doit jamais être supprimé, même en cas d'exclusion justifiée. Toute modification est une déviation d'intégrité des données.</w:t>
      </w:r>
    </w:p>
    <w:p w14:paraId="184CEFBC" w14:textId="77777777" w:rsidR="006A2AE4" w:rsidRDefault="006A2AE4">
      <w:pPr>
        <w:spacing w:after="100"/>
      </w:pPr>
    </w:p>
    <w:p w14:paraId="5A95AF2D" w14:textId="77777777" w:rsidR="006A2AE4" w:rsidRDefault="00000000">
      <w:pPr>
        <w:pBdr>
          <w:left w:val="single" w:sz="16" w:space="8" w:color="2E75B6"/>
        </w:pBdr>
        <w:spacing w:before="180" w:after="80"/>
        <w:ind w:left="120"/>
      </w:pPr>
      <w:proofErr w:type="gramStart"/>
      <w:r>
        <w:rPr>
          <w:b/>
          <w:bCs/>
          <w:color w:val="2E75B6"/>
          <w:sz w:val="24"/>
          <w:szCs w:val="24"/>
        </w:rPr>
        <w:t xml:space="preserve">8.3.3  </w:t>
      </w:r>
      <w:r>
        <w:rPr>
          <w:b/>
          <w:bCs/>
          <w:color w:val="1F4E79"/>
          <w:sz w:val="24"/>
          <w:szCs w:val="24"/>
        </w:rPr>
        <w:t>Critères</w:t>
      </w:r>
      <w:proofErr w:type="gramEnd"/>
      <w:r>
        <w:rPr>
          <w:b/>
          <w:bCs/>
          <w:color w:val="1F4E79"/>
          <w:sz w:val="24"/>
          <w:szCs w:val="24"/>
        </w:rPr>
        <w:t xml:space="preserve"> statistiques d'appui</w:t>
      </w:r>
    </w:p>
    <w:p w14:paraId="3B6E2DCF" w14:textId="77777777" w:rsidR="006A2AE4" w:rsidRDefault="006A2AE4">
      <w:pPr>
        <w:spacing w:after="50"/>
      </w:pPr>
    </w:p>
    <w:p w14:paraId="0CE03D96" w14:textId="77777777" w:rsidR="006A2AE4" w:rsidRDefault="00000000">
      <w:pPr>
        <w:spacing w:after="60"/>
      </w:pPr>
      <w:r>
        <w:rPr>
          <w:color w:val="333333"/>
        </w:rPr>
        <w:t>Les outils statistiques ci-dessous peuvent appuyer l'investigation, mais ne se substituent pas à l'identification d'une cause technique 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3560"/>
        <w:gridCol w:w="3400"/>
      </w:tblGrid>
      <w:tr w:rsidR="006A2AE4" w14:paraId="3AAC562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1A75FBD" w14:textId="77777777" w:rsidR="006A2AE4" w:rsidRDefault="00000000">
            <w:pPr>
              <w:jc w:val="center"/>
            </w:pPr>
            <w:r>
              <w:rPr>
                <w:b/>
                <w:bCs/>
                <w:color w:val="FFFFFF"/>
              </w:rPr>
              <w:t>Outil statistique</w:t>
            </w:r>
          </w:p>
        </w:tc>
        <w:tc>
          <w:tcPr>
            <w:tcW w:w="35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D108AA2" w14:textId="77777777" w:rsidR="006A2AE4" w:rsidRDefault="00000000">
            <w:pPr>
              <w:jc w:val="center"/>
            </w:pPr>
            <w:r>
              <w:rPr>
                <w:b/>
                <w:bCs/>
                <w:color w:val="FFFFFF"/>
              </w:rPr>
              <w:t>Usage dans l'investigation</w:t>
            </w:r>
          </w:p>
        </w:tc>
        <w:tc>
          <w:tcPr>
            <w:tcW w:w="34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EA352CC" w14:textId="77777777" w:rsidR="006A2AE4" w:rsidRDefault="00000000">
            <w:pPr>
              <w:jc w:val="center"/>
            </w:pPr>
            <w:r>
              <w:rPr>
                <w:b/>
                <w:bCs/>
                <w:color w:val="FFFFFF"/>
              </w:rPr>
              <w:t>Limite / Condition d'application</w:t>
            </w:r>
          </w:p>
        </w:tc>
      </w:tr>
      <w:tr w:rsidR="006A2AE4" w14:paraId="72AAEB3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0728558" w14:textId="77777777" w:rsidR="006A2AE4" w:rsidRDefault="00000000">
            <w:r>
              <w:rPr>
                <w:b/>
                <w:bCs/>
              </w:rPr>
              <w:lastRenderedPageBreak/>
              <w:t>Test de Grubbs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4722CA7" w14:textId="77777777" w:rsidR="006A2AE4" w:rsidRDefault="00000000">
            <w:r>
              <w:t xml:space="preserve">Identifier des </w:t>
            </w:r>
            <w:proofErr w:type="spellStart"/>
            <w:r>
              <w:t>outliers</w:t>
            </w:r>
            <w:proofErr w:type="spellEnd"/>
            <w:r>
              <w:t xml:space="preserve"> statistiques parmi n préparations (n ≥ 6 recommandé)</w:t>
            </w:r>
          </w:p>
        </w:tc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B27D889" w14:textId="77777777" w:rsidR="006A2AE4" w:rsidRDefault="00000000">
            <w:r>
              <w:t xml:space="preserve">Résultat p &lt; 0,05 → </w:t>
            </w:r>
            <w:proofErr w:type="spellStart"/>
            <w:r>
              <w:t>outlier</w:t>
            </w:r>
            <w:proofErr w:type="spellEnd"/>
            <w:r>
              <w:t xml:space="preserve"> MAIS exclusion requiert cause technique documentée</w:t>
            </w:r>
          </w:p>
        </w:tc>
      </w:tr>
      <w:tr w:rsidR="006A2AE4" w14:paraId="2762791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20E891B" w14:textId="77777777" w:rsidR="006A2AE4" w:rsidRDefault="00000000">
            <w:r>
              <w:rPr>
                <w:b/>
                <w:bCs/>
              </w:rPr>
              <w:t>%RSD de validation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2AE887C" w14:textId="77777777" w:rsidR="006A2AE4" w:rsidRDefault="00000000">
            <w:r>
              <w:t>Référence de variabilité de répétabilité normale pour la méthode</w:t>
            </w:r>
          </w:p>
        </w:tc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CB6AEF4" w14:textId="77777777" w:rsidR="006A2AE4" w:rsidRDefault="00000000">
            <w:r>
              <w:t>Un écart &gt; 3× %RSD validation est considéré comme anormal</w:t>
            </w:r>
          </w:p>
        </w:tc>
      </w:tr>
      <w:tr w:rsidR="006A2AE4" w14:paraId="2CD04C0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7CB6462" w14:textId="77777777" w:rsidR="006A2AE4" w:rsidRDefault="00000000">
            <w:r>
              <w:rPr>
                <w:b/>
                <w:bCs/>
              </w:rPr>
              <w:t xml:space="preserve">Écart </w:t>
            </w:r>
            <w:proofErr w:type="spellStart"/>
            <w:r>
              <w:rPr>
                <w:b/>
                <w:bCs/>
              </w:rPr>
              <w:t>ré-injection</w:t>
            </w:r>
            <w:proofErr w:type="spellEnd"/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0D6C9F6" w14:textId="77777777" w:rsidR="006A2AE4" w:rsidRDefault="00000000">
            <w:r>
              <w:t xml:space="preserve">Comparer l'injection initiale à la </w:t>
            </w:r>
            <w:proofErr w:type="spellStart"/>
            <w:r>
              <w:t>ré-injection</w:t>
            </w:r>
            <w:proofErr w:type="spellEnd"/>
            <w:r>
              <w:t xml:space="preserve"> immédiate</w:t>
            </w:r>
          </w:p>
        </w:tc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B0EAB58" w14:textId="77777777" w:rsidR="006A2AE4" w:rsidRDefault="00000000">
            <w:r>
              <w:t>Écart &gt;&gt; variabilité historique = signe d'injection défectueuse (bulle, pression...)</w:t>
            </w:r>
          </w:p>
        </w:tc>
      </w:tr>
    </w:tbl>
    <w:p w14:paraId="4E01622A" w14:textId="77777777" w:rsidR="006A2AE4" w:rsidRDefault="006A2AE4">
      <w:pPr>
        <w:spacing w:after="80"/>
      </w:pPr>
    </w:p>
    <w:p w14:paraId="261FB2E3" w14:textId="77777777" w:rsidR="006A2AE4" w:rsidRDefault="00000000">
      <w:pPr>
        <w:pBdr>
          <w:left w:val="single" w:sz="20" w:space="8" w:color="7D4000"/>
        </w:pBdr>
        <w:spacing w:before="60" w:after="60"/>
        <w:ind w:left="280"/>
      </w:pPr>
      <w:r>
        <w:rPr>
          <w:b/>
          <w:bCs/>
          <w:color w:val="7D4000"/>
        </w:rPr>
        <w:t xml:space="preserve">Règle impérative : </w:t>
      </w:r>
      <w:r>
        <w:rPr>
          <w:color w:val="7D4000"/>
        </w:rPr>
        <w:t>L'exclusion d'un résultat requiert TOUJOURS une cause technique documentée. Un test de Grubbs positif (p &lt; 0,05) est une condition nécessaire mais non suffisante pour justifier l'exclusion.</w:t>
      </w:r>
    </w:p>
    <w:p w14:paraId="291E68D6" w14:textId="77777777" w:rsidR="006A2AE4" w:rsidRDefault="006A2AE4">
      <w:pPr>
        <w:spacing w:after="100"/>
      </w:pPr>
    </w:p>
    <w:p w14:paraId="0EA8A054" w14:textId="77777777" w:rsidR="006A2AE4" w:rsidRDefault="00000000">
      <w:pPr>
        <w:pBdr>
          <w:bottom w:val="single" w:sz="10" w:space="2" w:color="2E75B6"/>
        </w:pBdr>
        <w:spacing w:before="240" w:after="120"/>
      </w:pPr>
      <w:r>
        <w:rPr>
          <w:b/>
          <w:bCs/>
          <w:color w:val="2E75B6"/>
          <w:sz w:val="28"/>
          <w:szCs w:val="28"/>
        </w:rPr>
        <w:t xml:space="preserve">  </w:t>
      </w:r>
      <w:r>
        <w:rPr>
          <w:b/>
          <w:bCs/>
          <w:color w:val="1F4E79"/>
          <w:sz w:val="28"/>
          <w:szCs w:val="28"/>
        </w:rPr>
        <w:t>Approbations de la section 8.3 v2.1</w:t>
      </w:r>
    </w:p>
    <w:p w14:paraId="761B6E09" w14:textId="77777777" w:rsidR="006A2AE4" w:rsidRDefault="006A2AE4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4"/>
        <w:gridCol w:w="204"/>
        <w:gridCol w:w="2984"/>
        <w:gridCol w:w="204"/>
        <w:gridCol w:w="2984"/>
      </w:tblGrid>
      <w:tr w:rsidR="006A2AE4" w14:paraId="38B21DDC" w14:textId="77777777">
        <w:tblPrEx>
          <w:tblCellMar>
            <w:top w:w="0" w:type="dxa"/>
            <w:bottom w:w="0" w:type="dxa"/>
          </w:tblCellMar>
        </w:tblPrEx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5593FF7" w14:textId="77777777" w:rsidR="006A2AE4" w:rsidRDefault="00000000">
            <w:r>
              <w:rPr>
                <w:color w:val="555555"/>
                <w:sz w:val="18"/>
                <w:szCs w:val="18"/>
              </w:rPr>
              <w:t>Rédacteur</w:t>
            </w:r>
          </w:p>
          <w:p w14:paraId="1BF7A167" w14:textId="7117D028" w:rsidR="006A2AE4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 xml:space="preserve">️  </w:t>
            </w:r>
            <w:r w:rsidR="00C05BC4">
              <w:rPr>
                <w:b/>
                <w:bCs/>
                <w:color w:val="1F4E79"/>
                <w:sz w:val="22"/>
                <w:szCs w:val="22"/>
              </w:rPr>
              <w:t>Rachid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</w:t>
            </w:r>
            <w:r w:rsidR="00C05BC4">
              <w:rPr>
                <w:b/>
                <w:bCs/>
                <w:color w:val="1F4E79"/>
                <w:sz w:val="22"/>
                <w:szCs w:val="22"/>
              </w:rPr>
              <w:t>B</w:t>
            </w:r>
            <w:r>
              <w:rPr>
                <w:b/>
                <w:bCs/>
                <w:color w:val="1F4E79"/>
                <w:sz w:val="22"/>
                <w:szCs w:val="22"/>
              </w:rPr>
              <w:t>.</w:t>
            </w:r>
          </w:p>
          <w:p w14:paraId="05F7A884" w14:textId="77777777" w:rsidR="006A2AE4" w:rsidRDefault="00000000">
            <w:r>
              <w:rPr>
                <w:i/>
                <w:iCs/>
                <w:color w:val="555555"/>
                <w:sz w:val="18"/>
                <w:szCs w:val="18"/>
              </w:rPr>
              <w:t>Analyste QC</w:t>
            </w:r>
          </w:p>
          <w:p w14:paraId="090876FF" w14:textId="77777777" w:rsidR="006A2AE4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19/04/2026</w:t>
            </w:r>
          </w:p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4C9BA1A" w14:textId="77777777" w:rsidR="006A2AE4" w:rsidRDefault="006A2AE4"/>
        </w:tc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9F54A64" w14:textId="77777777" w:rsidR="006A2AE4" w:rsidRDefault="00000000">
            <w:r>
              <w:rPr>
                <w:color w:val="555555"/>
                <w:sz w:val="18"/>
                <w:szCs w:val="18"/>
              </w:rPr>
              <w:t>Vérificateur</w:t>
            </w:r>
          </w:p>
          <w:p w14:paraId="0233BB18" w14:textId="09529D5A" w:rsidR="006A2AE4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>️  Dr.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A. M</w:t>
            </w:r>
          </w:p>
          <w:p w14:paraId="159D3641" w14:textId="77777777" w:rsidR="006A2AE4" w:rsidRDefault="00000000">
            <w:r>
              <w:rPr>
                <w:i/>
                <w:iCs/>
                <w:color w:val="555555"/>
                <w:sz w:val="18"/>
                <w:szCs w:val="18"/>
              </w:rPr>
              <w:t>Responsable QC</w:t>
            </w:r>
          </w:p>
          <w:p w14:paraId="4B370760" w14:textId="77777777" w:rsidR="006A2AE4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19/04/2026</w:t>
            </w:r>
          </w:p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922BB5B" w14:textId="77777777" w:rsidR="006A2AE4" w:rsidRDefault="006A2AE4"/>
        </w:tc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47A3E7D" w14:textId="77777777" w:rsidR="006A2AE4" w:rsidRDefault="00000000">
            <w:r>
              <w:rPr>
                <w:color w:val="555555"/>
                <w:sz w:val="18"/>
                <w:szCs w:val="18"/>
              </w:rPr>
              <w:t>Approbateur AQ</w:t>
            </w:r>
          </w:p>
          <w:p w14:paraId="40BC3699" w14:textId="59EDD695" w:rsidR="006A2AE4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>️  Mme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S. L</w:t>
            </w:r>
          </w:p>
          <w:p w14:paraId="0F8768B9" w14:textId="77777777" w:rsidR="006A2AE4" w:rsidRDefault="00000000">
            <w:r>
              <w:rPr>
                <w:i/>
                <w:iCs/>
                <w:color w:val="555555"/>
                <w:sz w:val="18"/>
                <w:szCs w:val="18"/>
              </w:rPr>
              <w:t>Responsable AQ</w:t>
            </w:r>
          </w:p>
          <w:p w14:paraId="58C92C37" w14:textId="77777777" w:rsidR="006A2AE4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19/04/2026</w:t>
            </w:r>
          </w:p>
        </w:tc>
      </w:tr>
    </w:tbl>
    <w:p w14:paraId="24305FA2" w14:textId="77777777" w:rsidR="006A2AE4" w:rsidRDefault="006A2AE4">
      <w:pPr>
        <w:spacing w:after="60"/>
      </w:pPr>
    </w:p>
    <w:sectPr w:rsidR="006A2AE4">
      <w:headerReference w:type="default" r:id="rId7"/>
      <w:footerReference w:type="default" r:id="rId8"/>
      <w:pgSz w:w="11906" w:h="16838"/>
      <w:pgMar w:top="1000" w:right="1100" w:bottom="1000" w:left="11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BBB0" w14:textId="77777777" w:rsidR="00F46B80" w:rsidRDefault="00F46B80">
      <w:r>
        <w:separator/>
      </w:r>
    </w:p>
  </w:endnote>
  <w:endnote w:type="continuationSeparator" w:id="0">
    <w:p w14:paraId="0D43CC8F" w14:textId="77777777" w:rsidR="00F46B80" w:rsidRDefault="00F4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D1C69" w14:textId="77777777" w:rsidR="006A2AE4" w:rsidRDefault="00000000">
    <w:pPr>
      <w:pBdr>
        <w:top w:val="single" w:sz="4" w:space="4" w:color="2E75B6"/>
      </w:pBdr>
    </w:pPr>
    <w:r>
      <w:rPr>
        <w:color w:val="666666"/>
        <w:sz w:val="16"/>
        <w:szCs w:val="16"/>
      </w:rPr>
      <w:t>METH-HPLC-CARD-</w:t>
    </w:r>
    <w:proofErr w:type="gramStart"/>
    <w:r>
      <w:rPr>
        <w:color w:val="666666"/>
        <w:sz w:val="16"/>
        <w:szCs w:val="16"/>
      </w:rPr>
      <w:t>001  |</w:t>
    </w:r>
    <w:proofErr w:type="gramEnd"/>
    <w:r>
      <w:rPr>
        <w:color w:val="666666"/>
        <w:sz w:val="16"/>
        <w:szCs w:val="16"/>
      </w:rPr>
      <w:t xml:space="preserve">  Section 8.3 – Résultats </w:t>
    </w:r>
    <w:proofErr w:type="gramStart"/>
    <w:r>
      <w:rPr>
        <w:color w:val="666666"/>
        <w:sz w:val="16"/>
        <w:szCs w:val="16"/>
      </w:rPr>
      <w:t>suspects  |</w:t>
    </w:r>
    <w:proofErr w:type="gramEnd"/>
    <w:r>
      <w:rPr>
        <w:color w:val="666666"/>
        <w:sz w:val="16"/>
        <w:szCs w:val="16"/>
      </w:rPr>
      <w:t xml:space="preserve">  Usage interne QC     Page </w:t>
    </w:r>
    <w:r>
      <w:rPr>
        <w:color w:val="666666"/>
        <w:sz w:val="16"/>
        <w:szCs w:val="16"/>
      </w:rPr>
      <w:fldChar w:fldCharType="begin"/>
    </w:r>
    <w:r>
      <w:rPr>
        <w:color w:val="666666"/>
        <w:sz w:val="16"/>
        <w:szCs w:val="16"/>
      </w:rPr>
      <w:instrText>PAGE</w:instrText>
    </w:r>
    <w:r>
      <w:rPr>
        <w:color w:val="666666"/>
        <w:sz w:val="16"/>
        <w:szCs w:val="16"/>
      </w:rPr>
      <w:fldChar w:fldCharType="separate"/>
    </w:r>
    <w:r w:rsidR="00C05BC4">
      <w:rPr>
        <w:noProof/>
        <w:color w:val="666666"/>
        <w:sz w:val="16"/>
        <w:szCs w:val="16"/>
      </w:rPr>
      <w:t>1</w:t>
    </w:r>
    <w:r>
      <w:rPr>
        <w:color w:val="666666"/>
        <w:sz w:val="16"/>
        <w:szCs w:val="16"/>
      </w:rPr>
      <w:fldChar w:fldCharType="end"/>
    </w:r>
    <w:r>
      <w:rPr>
        <w:color w:val="666666"/>
        <w:sz w:val="16"/>
        <w:szCs w:val="16"/>
      </w:rPr>
      <w:t xml:space="preserve"> / </w:t>
    </w:r>
    <w:r>
      <w:rPr>
        <w:color w:val="666666"/>
        <w:sz w:val="16"/>
        <w:szCs w:val="16"/>
      </w:rPr>
      <w:fldChar w:fldCharType="begin"/>
    </w:r>
    <w:r>
      <w:rPr>
        <w:color w:val="666666"/>
        <w:sz w:val="16"/>
        <w:szCs w:val="16"/>
      </w:rPr>
      <w:instrText>NUMPAGES</w:instrText>
    </w:r>
    <w:r>
      <w:rPr>
        <w:color w:val="666666"/>
        <w:sz w:val="16"/>
        <w:szCs w:val="16"/>
      </w:rPr>
      <w:fldChar w:fldCharType="separate"/>
    </w:r>
    <w:r w:rsidR="00C05BC4">
      <w:rPr>
        <w:noProof/>
        <w:color w:val="666666"/>
        <w:sz w:val="16"/>
        <w:szCs w:val="16"/>
      </w:rPr>
      <w:t>2</w:t>
    </w:r>
    <w:r>
      <w:rPr>
        <w:color w:val="66666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FA4D" w14:textId="77777777" w:rsidR="00F46B80" w:rsidRDefault="00F46B80">
      <w:r>
        <w:separator/>
      </w:r>
    </w:p>
  </w:footnote>
  <w:footnote w:type="continuationSeparator" w:id="0">
    <w:p w14:paraId="15274684" w14:textId="77777777" w:rsidR="00F46B80" w:rsidRDefault="00F46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800"/>
      <w:gridCol w:w="3706"/>
    </w:tblGrid>
    <w:tr w:rsidR="006A2AE4" w14:paraId="42E42FFD" w14:textId="77777777">
      <w:tblPrEx>
        <w:tblCellMar>
          <w:top w:w="0" w:type="dxa"/>
          <w:bottom w:w="0" w:type="dxa"/>
        </w:tblCellMar>
      </w:tblPrEx>
      <w:tc>
        <w:tcPr>
          <w:tcW w:w="58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1F4E79"/>
          <w:tcMar>
            <w:top w:w="130" w:type="dxa"/>
            <w:left w:w="200" w:type="dxa"/>
            <w:bottom w:w="130" w:type="dxa"/>
            <w:right w:w="200" w:type="dxa"/>
          </w:tcMar>
          <w:vAlign w:val="center"/>
        </w:tcPr>
        <w:p w14:paraId="68A83129" w14:textId="77777777" w:rsidR="006A2AE4" w:rsidRDefault="00000000">
          <w:r>
            <w:rPr>
              <w:b/>
              <w:bCs/>
              <w:color w:val="FFFFFF"/>
              <w:sz w:val="24"/>
              <w:szCs w:val="24"/>
            </w:rPr>
            <w:t>SOP ANALYTIQUE – METH-HPLC-CARD-001</w:t>
          </w:r>
        </w:p>
        <w:p w14:paraId="1772E271" w14:textId="77777777" w:rsidR="006A2AE4" w:rsidRDefault="00000000">
          <w:r>
            <w:rPr>
              <w:color w:val="BDD7EE"/>
              <w:sz w:val="18"/>
              <w:szCs w:val="18"/>
            </w:rPr>
            <w:t>Section 8.3 : Gestion des résultats suspects</w:t>
          </w:r>
        </w:p>
      </w:tc>
      <w:tc>
        <w:tcPr>
          <w:tcW w:w="3706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2E75B6"/>
          <w:tcMar>
            <w:top w:w="130" w:type="dxa"/>
            <w:left w:w="150" w:type="dxa"/>
            <w:bottom w:w="130" w:type="dxa"/>
            <w:right w:w="150" w:type="dxa"/>
          </w:tcMar>
          <w:vAlign w:val="center"/>
        </w:tcPr>
        <w:p w14:paraId="2D65B5C9" w14:textId="77777777" w:rsidR="006A2AE4" w:rsidRDefault="00000000">
          <w:pPr>
            <w:jc w:val="center"/>
          </w:pPr>
          <w:r>
            <w:rPr>
              <w:b/>
              <w:bCs/>
              <w:color w:val="FFFFFF"/>
              <w:sz w:val="18"/>
              <w:szCs w:val="18"/>
            </w:rPr>
            <w:t>Version : 2.1</w:t>
          </w:r>
        </w:p>
        <w:p w14:paraId="31FBA45B" w14:textId="77777777" w:rsidR="006A2AE4" w:rsidRDefault="00000000">
          <w:pPr>
            <w:jc w:val="center"/>
          </w:pPr>
          <w:r>
            <w:rPr>
              <w:color w:val="BDD7EE"/>
              <w:sz w:val="18"/>
              <w:szCs w:val="18"/>
            </w:rPr>
            <w:t>Date d'effet : 19/04/2026</w:t>
          </w:r>
        </w:p>
        <w:p w14:paraId="1DDD03B6" w14:textId="77777777" w:rsidR="006A2AE4" w:rsidRDefault="00000000">
          <w:pPr>
            <w:jc w:val="center"/>
          </w:pPr>
          <w:r>
            <w:rPr>
              <w:color w:val="BDD7EE"/>
              <w:sz w:val="16"/>
              <w:szCs w:val="16"/>
            </w:rPr>
            <w:t>Remplace : Section 8.3 v2.0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A6DB9"/>
    <w:multiLevelType w:val="hybridMultilevel"/>
    <w:tmpl w:val="5510D3E4"/>
    <w:lvl w:ilvl="0" w:tplc="89E20DA6">
      <w:start w:val="1"/>
      <w:numFmt w:val="bullet"/>
      <w:lvlText w:val="•"/>
      <w:lvlJc w:val="left"/>
      <w:pPr>
        <w:ind w:left="500" w:hanging="260"/>
      </w:pPr>
    </w:lvl>
    <w:lvl w:ilvl="1" w:tplc="EA66FFA8">
      <w:start w:val="1"/>
      <w:numFmt w:val="bullet"/>
      <w:lvlText w:val="–"/>
      <w:lvlJc w:val="left"/>
      <w:pPr>
        <w:ind w:left="900" w:hanging="260"/>
      </w:pPr>
    </w:lvl>
    <w:lvl w:ilvl="2" w:tplc="6C08F214">
      <w:numFmt w:val="decimal"/>
      <w:lvlText w:val=""/>
      <w:lvlJc w:val="left"/>
    </w:lvl>
    <w:lvl w:ilvl="3" w:tplc="7D267BD0">
      <w:numFmt w:val="decimal"/>
      <w:lvlText w:val=""/>
      <w:lvlJc w:val="left"/>
    </w:lvl>
    <w:lvl w:ilvl="4" w:tplc="7E02BAE2">
      <w:numFmt w:val="decimal"/>
      <w:lvlText w:val=""/>
      <w:lvlJc w:val="left"/>
    </w:lvl>
    <w:lvl w:ilvl="5" w:tplc="FDC86B26">
      <w:numFmt w:val="decimal"/>
      <w:lvlText w:val=""/>
      <w:lvlJc w:val="left"/>
    </w:lvl>
    <w:lvl w:ilvl="6" w:tplc="234EB16C">
      <w:numFmt w:val="decimal"/>
      <w:lvlText w:val=""/>
      <w:lvlJc w:val="left"/>
    </w:lvl>
    <w:lvl w:ilvl="7" w:tplc="1758DD6A">
      <w:numFmt w:val="decimal"/>
      <w:lvlText w:val=""/>
      <w:lvlJc w:val="left"/>
    </w:lvl>
    <w:lvl w:ilvl="8" w:tplc="EE20E456">
      <w:numFmt w:val="decimal"/>
      <w:lvlText w:val=""/>
      <w:lvlJc w:val="left"/>
    </w:lvl>
  </w:abstractNum>
  <w:abstractNum w:abstractNumId="1" w15:restartNumberingAfterBreak="0">
    <w:nsid w:val="4D0E5330"/>
    <w:multiLevelType w:val="hybridMultilevel"/>
    <w:tmpl w:val="3F32E0C0"/>
    <w:lvl w:ilvl="0" w:tplc="A08E05AA">
      <w:start w:val="1"/>
      <w:numFmt w:val="decimal"/>
      <w:lvlText w:val="%1."/>
      <w:lvlJc w:val="left"/>
      <w:pPr>
        <w:ind w:left="560" w:hanging="320"/>
      </w:pPr>
    </w:lvl>
    <w:lvl w:ilvl="1" w:tplc="A6F4603E">
      <w:numFmt w:val="decimal"/>
      <w:lvlText w:val=""/>
      <w:lvlJc w:val="left"/>
    </w:lvl>
    <w:lvl w:ilvl="2" w:tplc="B3F41F04">
      <w:numFmt w:val="decimal"/>
      <w:lvlText w:val=""/>
      <w:lvlJc w:val="left"/>
    </w:lvl>
    <w:lvl w:ilvl="3" w:tplc="51581024">
      <w:numFmt w:val="decimal"/>
      <w:lvlText w:val=""/>
      <w:lvlJc w:val="left"/>
    </w:lvl>
    <w:lvl w:ilvl="4" w:tplc="9E2A4624">
      <w:numFmt w:val="decimal"/>
      <w:lvlText w:val=""/>
      <w:lvlJc w:val="left"/>
    </w:lvl>
    <w:lvl w:ilvl="5" w:tplc="39EA1836">
      <w:numFmt w:val="decimal"/>
      <w:lvlText w:val=""/>
      <w:lvlJc w:val="left"/>
    </w:lvl>
    <w:lvl w:ilvl="6" w:tplc="50460900">
      <w:numFmt w:val="decimal"/>
      <w:lvlText w:val=""/>
      <w:lvlJc w:val="left"/>
    </w:lvl>
    <w:lvl w:ilvl="7" w:tplc="9800E408">
      <w:numFmt w:val="decimal"/>
      <w:lvlText w:val=""/>
      <w:lvlJc w:val="left"/>
    </w:lvl>
    <w:lvl w:ilvl="8" w:tplc="C380B382">
      <w:numFmt w:val="decimal"/>
      <w:lvlText w:val=""/>
      <w:lvlJc w:val="left"/>
    </w:lvl>
  </w:abstractNum>
  <w:abstractNum w:abstractNumId="2" w15:restartNumberingAfterBreak="0">
    <w:nsid w:val="77DE5052"/>
    <w:multiLevelType w:val="hybridMultilevel"/>
    <w:tmpl w:val="45A09BE2"/>
    <w:lvl w:ilvl="0" w:tplc="A33A5F38">
      <w:start w:val="1"/>
      <w:numFmt w:val="lowerLetter"/>
      <w:lvlText w:val="%1."/>
      <w:lvlJc w:val="left"/>
      <w:pPr>
        <w:ind w:left="960" w:hanging="320"/>
      </w:pPr>
    </w:lvl>
    <w:lvl w:ilvl="1" w:tplc="60066414">
      <w:numFmt w:val="decimal"/>
      <w:lvlText w:val=""/>
      <w:lvlJc w:val="left"/>
    </w:lvl>
    <w:lvl w:ilvl="2" w:tplc="F09AE0F8">
      <w:numFmt w:val="decimal"/>
      <w:lvlText w:val=""/>
      <w:lvlJc w:val="left"/>
    </w:lvl>
    <w:lvl w:ilvl="3" w:tplc="4618738C">
      <w:numFmt w:val="decimal"/>
      <w:lvlText w:val=""/>
      <w:lvlJc w:val="left"/>
    </w:lvl>
    <w:lvl w:ilvl="4" w:tplc="48601D8C">
      <w:numFmt w:val="decimal"/>
      <w:lvlText w:val=""/>
      <w:lvlJc w:val="left"/>
    </w:lvl>
    <w:lvl w:ilvl="5" w:tplc="DF36AD42">
      <w:numFmt w:val="decimal"/>
      <w:lvlText w:val=""/>
      <w:lvlJc w:val="left"/>
    </w:lvl>
    <w:lvl w:ilvl="6" w:tplc="5B70756C">
      <w:numFmt w:val="decimal"/>
      <w:lvlText w:val=""/>
      <w:lvlJc w:val="left"/>
    </w:lvl>
    <w:lvl w:ilvl="7" w:tplc="54825670">
      <w:numFmt w:val="decimal"/>
      <w:lvlText w:val=""/>
      <w:lvlJc w:val="left"/>
    </w:lvl>
    <w:lvl w:ilvl="8" w:tplc="6D46A324">
      <w:numFmt w:val="decimal"/>
      <w:lvlText w:val=""/>
      <w:lvlJc w:val="left"/>
    </w:lvl>
  </w:abstractNum>
  <w:abstractNum w:abstractNumId="3" w15:restartNumberingAfterBreak="0">
    <w:nsid w:val="7D3D50E9"/>
    <w:multiLevelType w:val="hybridMultilevel"/>
    <w:tmpl w:val="7F905C94"/>
    <w:lvl w:ilvl="0" w:tplc="2EE21040">
      <w:start w:val="1"/>
      <w:numFmt w:val="bullet"/>
      <w:lvlText w:val="●"/>
      <w:lvlJc w:val="left"/>
      <w:pPr>
        <w:ind w:left="720" w:hanging="360"/>
      </w:pPr>
    </w:lvl>
    <w:lvl w:ilvl="1" w:tplc="AF26DFAA">
      <w:start w:val="1"/>
      <w:numFmt w:val="bullet"/>
      <w:lvlText w:val="○"/>
      <w:lvlJc w:val="left"/>
      <w:pPr>
        <w:ind w:left="1440" w:hanging="360"/>
      </w:pPr>
    </w:lvl>
    <w:lvl w:ilvl="2" w:tplc="01CA15E8">
      <w:start w:val="1"/>
      <w:numFmt w:val="bullet"/>
      <w:lvlText w:val="■"/>
      <w:lvlJc w:val="left"/>
      <w:pPr>
        <w:ind w:left="2160" w:hanging="360"/>
      </w:pPr>
    </w:lvl>
    <w:lvl w:ilvl="3" w:tplc="D4F8C752">
      <w:start w:val="1"/>
      <w:numFmt w:val="bullet"/>
      <w:lvlText w:val="●"/>
      <w:lvlJc w:val="left"/>
      <w:pPr>
        <w:ind w:left="2880" w:hanging="360"/>
      </w:pPr>
    </w:lvl>
    <w:lvl w:ilvl="4" w:tplc="3D4E2FE6">
      <w:start w:val="1"/>
      <w:numFmt w:val="bullet"/>
      <w:lvlText w:val="○"/>
      <w:lvlJc w:val="left"/>
      <w:pPr>
        <w:ind w:left="3600" w:hanging="360"/>
      </w:pPr>
    </w:lvl>
    <w:lvl w:ilvl="5" w:tplc="D82478BE">
      <w:start w:val="1"/>
      <w:numFmt w:val="bullet"/>
      <w:lvlText w:val="■"/>
      <w:lvlJc w:val="left"/>
      <w:pPr>
        <w:ind w:left="4320" w:hanging="360"/>
      </w:pPr>
    </w:lvl>
    <w:lvl w:ilvl="6" w:tplc="AF8C0340">
      <w:start w:val="1"/>
      <w:numFmt w:val="bullet"/>
      <w:lvlText w:val="●"/>
      <w:lvlJc w:val="left"/>
      <w:pPr>
        <w:ind w:left="5040" w:hanging="360"/>
      </w:pPr>
    </w:lvl>
    <w:lvl w:ilvl="7" w:tplc="0D72532C">
      <w:start w:val="1"/>
      <w:numFmt w:val="bullet"/>
      <w:lvlText w:val="●"/>
      <w:lvlJc w:val="left"/>
      <w:pPr>
        <w:ind w:left="5760" w:hanging="360"/>
      </w:pPr>
    </w:lvl>
    <w:lvl w:ilvl="8" w:tplc="36EAF6D4">
      <w:start w:val="1"/>
      <w:numFmt w:val="bullet"/>
      <w:lvlText w:val="●"/>
      <w:lvlJc w:val="left"/>
      <w:pPr>
        <w:ind w:left="6480" w:hanging="360"/>
      </w:pPr>
    </w:lvl>
  </w:abstractNum>
  <w:num w:numId="1" w16cid:durableId="1823696161">
    <w:abstractNumId w:val="3"/>
    <w:lvlOverride w:ilvl="0">
      <w:startOverride w:val="1"/>
    </w:lvlOverride>
  </w:num>
  <w:num w:numId="2" w16cid:durableId="504516367">
    <w:abstractNumId w:val="0"/>
    <w:lvlOverride w:ilvl="0">
      <w:startOverride w:val="1"/>
    </w:lvlOverride>
  </w:num>
  <w:num w:numId="3" w16cid:durableId="18379008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AE4"/>
    <w:rsid w:val="006A2AE4"/>
    <w:rsid w:val="00C05BC4"/>
    <w:rsid w:val="00D22062"/>
    <w:rsid w:val="00F4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A7E2"/>
  <w15:docId w15:val="{2F023CED-A508-442D-A97E-EA6BDD45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468</Words>
  <Characters>2580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2026-03-13T10:05:00Z</dcterms:created>
  <dcterms:modified xsi:type="dcterms:W3CDTF">2026-03-13T10:05:00Z</dcterms:modified>
</cp:coreProperties>
</file>